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商务局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国家和省、市有关内外贸易、国际经济合作和招商引资的发展战略、方针、政策和规章制度；拟定全市相应的发展规划及规定、办法和措施。研究经济全球化、区域经济合作、现代流通方式的发展趋势并提出建议。</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贯彻执行国家有关对外开放、招商引资等方面的法律法规和方针政策；指导全市外商投资工作；参与拟定全市利用外资的中长期规划；依法核准全市大型外商投资项目的合同、章程及法律特别规定的重大变更事项；依法监督外商投资企业执行有关法律法规、规章和进出口工作；负责全市利用外资和外资企业生产经营情况统计；负责全市外商投资企业进出口产品配额及许可证的申报和管理工作；指导和管理全市外商投资企业进出口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（三）负责全市对外经济合作；会同有关部门贯彻执行国家促进服务出口和服务外包发展的规划、政策，牵头拟定全市服务贸易发展规划并组织实施。</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外国和香港、澳门特别行政区、台湾及其他省市常驻我市的商务代表机构的设立和管理工作；贯彻执行国家制定的对香港、澳门特别行政区和台湾地区的经贸规划、政策，组织实施我市对台直接通商工作；管理联合国及其他国际组织或外国政府对我市经济技术合作方面的无偿援助及赠款等发展合作业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执行国家制定的进出口商品、加工贸易管理办法和进出口商品、技术目录,贯彻执行国家促进外贸增长方式转变的政策措施，组织实施重要工业品、原材料和重要农产品进出口总量计划，会同有关部门协调大宗进出口商品，指导贸易促进活动和外贸促进体系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（六）拟定和推进全市科技兴贸战略，贯彻执行国家对外技术贸易、进出口管理及鼓励技术和成套设备出口的政策；依法监督技术引进、设备进口、国家限制出口的技术和引进技术的出口与再出口工作。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（七）负责全市商务系统涉及世贸组织相关事物的研究、指导的服务工作。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研究提出流通体制改革意见，负责推进流通产业结构调整，指导流通企业改革、商贸服务业和社区商业发展，提出促进商贸中小企业发展的政策建议，推动流通标准化和连锁经营、商业特许经营、物流配送、电子商务等现代流通方式的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拟订全市国内贸易发展规划，促进城乡市场发展，提出引导国内外资金投向市场体系建设的政策，指导大宗产品批发市场规划和城市商业网点规划、商业体系建设工作，推进农村市场体系建设，组织实施农村现代流通网络工程；建立健全统一、开放、竞争、有序的市场体系，维护行业公平竞争秩序；监测分析市场运行和商品供求状况，组织实施重要消费品市场调控和重要生产资料流通管理。</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定全市商品流通、物资流通和餐饮服务业的有关规定、规章，制定实施细则和市场准则；调查研究全市商品流通和物资流通行业重大问题，提出政策性建议；按有关规定对成品油流通进行监督管理。负责酒类流通的规划管理；承办全市老旧汽车（国家政策规定种类、范围）的更新补贴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贯彻执行国家机电产品进口战略和方针、政策；拟定和执行全市机电产品进出口中长期发展计划、年度指导性计划和管理办法并组织实施；依法监督进口机电设备采购项目招标活动，承办从事与工程有关的进口机电设备采购招标代理业务的招标代理机构初审上报；管理设备进口和国际招标。</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（十二）指导监督以三河市名义在境内举办的各种内、外贸交易会、展览会、展销会等活动；拟定并实施赴境外举办上述活动的管理办法。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（十三）负责全市内外贸易新闻发布会、宣传工作和提供信息咨询服务；指导全市流通领域信息网络和电子商务建设；负责指导全市商务流通行业协会、学会等社会组织工作。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研究制定药品流通行业发展规划、行业标准和有关政策，配合实施国家基本药物制度，提高行业组织化程度和现代化水平，逐步建立药品流通行业统计制度，推进行业信用体系建设，指导行业协会实行行业自律，开展行业培训。</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4"/>
              <w:rPr>
                <w:rFonts w:ascii="Times New Roman" w:hAnsi="Times New Roman" w:eastAsia="仿宋_GB2312" w:cs="Times New Roman"/>
                <w:b/>
              </w:rPr>
            </w:pPr>
            <w:r>
              <w:t>三河市商务局本级</w:t>
            </w:r>
          </w:p>
        </w:tc>
        <w:tc>
          <w:tcPr>
            <w:tcW w:w="1134" w:type="dxa"/>
            <w:shd w:val="clear" w:color="auto" w:fill="auto"/>
            <w:vAlign w:val="center"/>
          </w:tcPr>
          <w:p>
            <w:pPr>
              <w:pStyle w:val="15"/>
              <w:rPr>
                <w:rFonts w:ascii="Times New Roman" w:hAnsi="Times New Roman" w:eastAsia="仿宋_GB2312" w:cs="Times New Roman"/>
                <w:b/>
              </w:rPr>
            </w:pPr>
            <w:r>
              <w:t>行政</w:t>
            </w:r>
          </w:p>
        </w:tc>
        <w:tc>
          <w:tcPr>
            <w:tcW w:w="1276" w:type="dxa"/>
            <w:shd w:val="clear" w:color="auto" w:fill="auto"/>
            <w:vAlign w:val="center"/>
          </w:tcPr>
          <w:p>
            <w:pPr>
              <w:pStyle w:val="15"/>
              <w:rPr>
                <w:rFonts w:ascii="Times New Roman" w:hAnsi="Times New Roman" w:eastAsia="仿宋_GB2312" w:cs="Times New Roman"/>
                <w:b/>
              </w:rPr>
            </w:pPr>
            <w:r>
              <w:t>正科级</w:t>
            </w:r>
          </w:p>
        </w:tc>
        <w:tc>
          <w:tcPr>
            <w:tcW w:w="2902" w:type="dxa"/>
            <w:shd w:val="clear" w:color="auto" w:fill="auto"/>
            <w:vAlign w:val="center"/>
          </w:tcPr>
          <w:p>
            <w:pPr>
              <w:pStyle w:val="15"/>
              <w:rPr>
                <w:rFonts w:ascii="Times New Roman" w:hAnsi="Times New Roman" w:eastAsia="仿宋_GB2312" w:cs="Times New Roman"/>
                <w:b/>
              </w:rPr>
            </w:pPr>
            <w:r>
              <w:t>财政拨款</w:t>
            </w:r>
          </w:p>
        </w:tc>
      </w:tr>
    </w:tbl>
    <w:p>
      <w:pPr>
        <w:spacing w:line="584" w:lineRule="exact"/>
        <w:ind w:firstLine="321" w:firstLineChars="100"/>
        <w:rPr>
          <w:rFonts w:ascii="Times New Roman" w:hAnsi="Times New Roman" w:eastAsia="黑体" w:cs="Times New Roman"/>
          <w:sz w:val="32"/>
          <w:szCs w:val="32"/>
        </w:rPr>
      </w:pPr>
      <w:r>
        <w:rPr>
          <w:rFonts w:hint="eastAsia" w:ascii="Times New Roman" w:hAnsi="Times New Roman" w:eastAsia="仿宋_GB2312" w:cs="Times New Roman"/>
          <w:b/>
          <w:bCs/>
          <w:sz w:val="32"/>
          <w:szCs w:val="32"/>
        </w:rPr>
        <w:t>注：</w:t>
      </w:r>
      <w:r>
        <w:rPr>
          <w:rFonts w:hint="eastAsia" w:ascii="Times New Roman" w:hAnsi="Times New Roman" w:eastAsia="仿宋_GB2312" w:cs="Times New Roman"/>
          <w:sz w:val="32"/>
          <w:szCs w:val="32"/>
        </w:rPr>
        <w:t>我部门无下属单位。</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1752.82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1667.13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85.69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1752.82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1126.43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1022.95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103.48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626.39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包括本级支出和对下补助支出，主要为</w:t>
      </w:r>
      <w:r>
        <w:rPr>
          <w:rFonts w:hint="eastAsia" w:ascii="Times New Roman" w:hAnsi="Times New Roman" w:eastAsia="仿宋_GB2312" w:cs="Times New Roman"/>
          <w:sz w:val="32"/>
          <w:szCs w:val="32"/>
          <w:lang w:val="en-US" w:eastAsia="zh-CN"/>
        </w:rPr>
        <w:t>外贸出口奖励资金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限额以上批零住餐奖励资金，以及上年结转2021年第三批省商贸流通发展资金、2021年外贸发展资金共计85.69万元。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1667.13</w:t>
      </w:r>
      <w:r>
        <w:rPr>
          <w:rFonts w:ascii="Times New Roman" w:hAnsi="Times New Roman" w:eastAsia="仿宋_GB2312" w:cs="Times New Roman"/>
          <w:sz w:val="32"/>
          <w:szCs w:val="32"/>
        </w:rPr>
        <w:t>万元，</w:t>
      </w:r>
      <w:bookmarkStart w:id="3" w:name="_GoBack"/>
      <w:bookmarkEnd w:id="3"/>
      <w:r>
        <w:rPr>
          <w:rFonts w:ascii="Times New Roman" w:hAnsi="Times New Roman" w:eastAsia="仿宋_GB2312" w:cs="Times New Roman"/>
          <w:sz w:val="32"/>
          <w:szCs w:val="32"/>
        </w:rPr>
        <w:t>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lang w:val="en-US" w:eastAsia="zh-CN"/>
        </w:rPr>
        <w:t>206.87</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55.57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；项目支出减</w:t>
      </w:r>
      <w:r>
        <w:rPr>
          <w:rFonts w:hint="eastAsia" w:ascii="Times New Roman" w:hAnsi="Times New Roman" w:eastAsia="仿宋_GB2312" w:cs="Times New Roman"/>
          <w:sz w:val="32"/>
          <w:szCs w:val="32"/>
          <w:lang w:val="en-US" w:eastAsia="zh-CN"/>
        </w:rPr>
        <w:t>少65.61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出口信用保险</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103.48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12.47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11.97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11.97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其中，因公出国（境）费与</w:t>
      </w:r>
      <w:r>
        <w:rPr>
          <w:rFonts w:hint="eastAsia" w:ascii="Times New Roman" w:hAnsi="Times New Roman" w:eastAsia="仿宋_GB2312" w:cs="Times New Roman"/>
          <w:sz w:val="32"/>
          <w:szCs w:val="32"/>
          <w:lang w:val="en-US" w:eastAsia="zh-CN"/>
        </w:rPr>
        <w:t>上</w:t>
      </w:r>
      <w:r>
        <w:rPr>
          <w:rFonts w:hint="eastAsia" w:ascii="Times New Roman" w:hAnsi="Times New Roman" w:eastAsia="仿宋_GB2312" w:cs="Times New Roman"/>
          <w:sz w:val="32"/>
          <w:szCs w:val="32"/>
        </w:rPr>
        <w:t>年持平,无增减变化 ；</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与上年持平</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lang w:val="en-US" w:eastAsia="zh-CN"/>
        </w:rPr>
        <w:t>与上年持平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均为0万元，无增减变化，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val="en-US" w:eastAsia="zh-CN"/>
        </w:rPr>
        <w:t>0万元，与上年持平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比上年</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pPr>
      <w:r>
        <w:rPr>
          <w:rFonts w:hint="eastAsia" w:ascii="楷体_GB2312" w:eastAsia="楷体_GB2312" w:cs="Times New Roman"/>
          <w:b/>
          <w:sz w:val="32"/>
          <w:szCs w:val="32"/>
        </w:rPr>
        <w:t>（一）总体绩效目标</w:t>
      </w:r>
    </w:p>
    <w:p>
      <w:pPr>
        <w:pStyle w:val="20"/>
        <w:rPr>
          <w:rFonts w:ascii="仿宋_GB2312" w:eastAsia="仿宋_GB2312" w:cs="Times New Roman"/>
          <w:sz w:val="32"/>
          <w:szCs w:val="32"/>
        </w:rPr>
      </w:pPr>
      <w:r>
        <w:rPr>
          <w:rFonts w:hint="eastAsia" w:ascii="仿宋_GB2312" w:hAnsi="仿宋_GB2312" w:eastAsia="仿宋_GB2312" w:cs="仿宋_GB2312"/>
          <w:sz w:val="32"/>
          <w:szCs w:val="32"/>
        </w:rPr>
        <w:t>以习近平新时代中国特色社会主义思想为指导，深入贯彻中央和省、市决策部署，坚持以全面加强党的领导和扩大高水平对外开放为总体引领，全力外贸进出口、社会消费品零售总额两项指标任务，牢牢抓住开展招商引资、承办“5·18”经洽会等关键环节，扎实做好深化改革、开放合作、惠民发展等方面重要文章，稳步推进基层党的建设、招商引资、安全生产三项中心工作，通过夯实基础，促进主要指标换档提速、关键领域创新突破、重点工作提质增效，努力促进商贸事务实现高质量发展，为加快建设经济强市、美丽三河做出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1、确保全市外贸出口额稳定增长</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绩效目标：促进外贸主体培育，开展企业帮扶，帮助企业开拓国际市场，持续推进外贸转型升级，稳步提升出口企业国际市场开拓能力，不断扩大外贸主体，外贸出口结构进一步优化。</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继续实行《三河市外贸出口奖励办法》等外贸出口奖励政策，以海关统计出口额为依据，为符合条件的出口大户及出口额增长较快企业发放奖励资金，保障优化外贸商品结构、市场结构、主体结构、贸易方式结构，实现我市外贸出口额稳定增长；落实省级下达企业贷款贴息补贴、中小企业开拓国际市场费用补助、出口信用保险补贴等外贸专项补贴资金，为出口企业发展提供支持，提高小微企业国际市场竞争力。</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2、加大招商引资力度</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绩效目标：进一步夯实招商基础工作，持续推进各类招商活动，进一步优化外商投资环境，大力引进境外、省外投资大项目好项目，保障全市招商引资工作取得明显成效，力促我市招商引资工作再上新台阶。</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绩效指标：组织我市相关企业参加博鳌、达沃斯论坛、“5·18”、进博会、“9.8”厦门经贸洽谈会等重大经贸交流活动，全年组织对接活动不少于4场次，保障现场签约率不小于3%。</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3、推动批零住餐等流通企业转型升级</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绩效目标：围绕促消费、稳增长、惠民生，打造高品质消费载体，满足便利化消费需求，扩大网络消费规模，激发居民消费潜力，确保全年社会消费品零售总额稳定增长。</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按照我市统计部门提供企业名单，对全市限额以上批零住餐企业相关情况进行排查，对符合条件批零住餐入统企业按每户10万元进行奖励，促进规模以上企业转型升级，保障全市经济向优质高端方向发展。</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4、维护稳定，解决三总历史遗留问题</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按照市委市政府安排部署，协调解决三总历史遗留问题，维护稳定大局，减少违法违规上访事件，预防和减少不稳定隐患率达到80%。</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绩效指标:每半年按职工申请为特困人员发放特困补助，帮扶大病及特困职工不少于20人，重大节日及敏感时段对涉军、下岗、法轮功等特殊群体进行一对一重点看护、接访，做到不稳定隐患排查率达到90以上%。</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5、加强成品油市场监管力度，确保我市成品油市场秩序稳步提升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绩效目标：以我市成品油市场领导小组为依托，加强成品油市场监管，完善成品油市场综合治理工作机制，大力开展成品油市场专项整治行动。</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一是加大对成品油市场的监管力度，维护成品油企业经营秩序；二是加强商务队伍建设，提高商务行政水平，组织召开相关业务培训2次，参加国家及省市级业务培训2次，外出学习交流考察1次；三是严格履行全市成品油市场综合治理工作领导小组办公室职责，完善档案管理、信息报送、定期通报、等制度机制；四是大力开展成品油市场专项整治行动，发现一起、整改一起、取缔一起，实现成品油市场违法违规行为查处率100%，确保成品油市场领域大气污染防治工作取得成效。</w:t>
      </w:r>
    </w:p>
    <w:p>
      <w:pPr>
        <w:pStyle w:val="21"/>
        <w:rPr>
          <w:rFonts w:hint="eastAsia" w:ascii="仿宋_GB2312" w:hAnsi="仿宋_GB2312" w:eastAsia="仿宋_GB2312" w:cs="仿宋_GB2312"/>
          <w:sz w:val="32"/>
          <w:szCs w:val="32"/>
        </w:rPr>
      </w:pP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6、落实安全生产责任制，确保商务领域安全生产形势稳定</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绩效目标：一是严格落实安全生产责任制，二是加强商务领域安全生产监督指导。</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一是落实好《领导干部安全生产责任制实施细则》，指导督促商贸流通企业定期排摸、定期核查、定期上报落实安全生产责任制情况；二是强化安全生产宣传教育和培训，开展应急处置演练，提高安全生产意识和能力，全年至少组织1次安全生产培训。三是加大对大型商场超市等市场主体的日常监管和专项检查力度，完善安全生产制度和设施，提高安全生产工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组织领导。充分发挥党组的领导作用，统筹谋划全面实施预算绩效管理工作。成立由主要领导同志任组长的预算绩效工作领导小组，建立统筹协调、分工协作、密切配合、合力推进的工作机制。围绕年度总体绩效目标和分类绩效目标，细化工作方案，明确责任主体、实施进度要求，确保如期完成。</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健全制度体系。围绕预算管理的主要内容和关键环节，建立事前评估、目标管理、运行监控、绩效评价、结果应用等全过程环节的预算绩效管理流程，出台机关财务、资金管理、政府采购等管理办法，完善绩效指标框架体系，健全内部控制管理制度，加强财务管理，规范财务行为，确保财务管理工作科学、规范、有序进行。</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化预算管理。将绩效理念和方法深度融入预算编制、执行、监督全过程。严格预算编制，加强资金统筹，提升项目入库质量，切实编实编细预算。严格预算执行，及时启动项目和支付资金，加快履行政府采购程序，优化预算支出结构，合理改进支出方式，确保按照时间节点完成支出任务。强化预算执行刚性约束，督促处室加快执行进度，规范财政资金使用和管理，切实发挥财政资金使用效益。</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搞好评价监督。将部门政策、项目和预算收支全面纳入绩效管理。成立专门的评价工作小组，制定科学评价办法，通过自评和外部评价相结合的方式，对政策和项目资金支出的经济性、效率性及绩效目标实现程度进行全方位评价。建立绩效评价结果与预算安排和政策调整挂钩机制，推进绩效信息公开透明，主动面向社会公开，自觉接受人大和社会各界监督。</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455" w:type="dxa"/>
        <w:jc w:val="center"/>
        <w:tblInd w:w="-2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35"/>
        <w:gridCol w:w="690"/>
        <w:gridCol w:w="3030"/>
        <w:gridCol w:w="735"/>
        <w:gridCol w:w="3390"/>
        <w:gridCol w:w="578"/>
        <w:gridCol w:w="675"/>
        <w:gridCol w:w="555"/>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10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30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7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3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0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7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tblHeader/>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tc>
        <w:tc>
          <w:tcPr>
            <w:tcW w:w="3030" w:type="dxa"/>
            <w:vMerge w:val="continue"/>
            <w:tcBorders>
              <w:tl2br w:val="nil"/>
              <w:tr2bl w:val="nil"/>
            </w:tcBorders>
            <w:vAlign w:val="center"/>
          </w:tcPr>
          <w:p/>
        </w:tc>
        <w:tc>
          <w:tcPr>
            <w:tcW w:w="735" w:type="dxa"/>
            <w:vMerge w:val="continue"/>
            <w:tcBorders>
              <w:tl2br w:val="nil"/>
              <w:tr2bl w:val="nil"/>
            </w:tcBorders>
            <w:vAlign w:val="center"/>
          </w:tcPr>
          <w:p/>
        </w:tc>
        <w:tc>
          <w:tcPr>
            <w:tcW w:w="3390" w:type="dxa"/>
            <w:vMerge w:val="continue"/>
            <w:tcBorders>
              <w:tl2br w:val="nil"/>
              <w:tr2bl w:val="nil"/>
            </w:tcBorders>
            <w:vAlign w:val="center"/>
          </w:tcPr>
          <w:p/>
        </w:tc>
        <w:tc>
          <w:tcPr>
            <w:tcW w:w="57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7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76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restart"/>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部门产出</w:t>
            </w:r>
          </w:p>
        </w:tc>
        <w:tc>
          <w:tcPr>
            <w:tcW w:w="690" w:type="dxa"/>
            <w:vMerge w:val="restart"/>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数量</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招商活动数量</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组织企业参加活动数量</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4</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次</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tabs>
                <w:tab w:val="left" w:pos="829"/>
              </w:tabs>
              <w:adjustRightInd w:val="0"/>
              <w:snapToGrid w:val="0"/>
              <w:jc w:val="center"/>
              <w:rPr>
                <w:rFonts w:hint="eastAsia" w:ascii="方正书宋_GBK" w:eastAsia="方正书宋_GBK"/>
                <w:lang w:eastAsia="zh-CN"/>
              </w:rPr>
            </w:pPr>
            <w:r>
              <w:rPr>
                <w:rFonts w:hint="eastAsia" w:ascii="方正书宋_GBK" w:eastAsia="方正书宋_GBK"/>
                <w:lang w:eastAsia="zh-CN"/>
              </w:rPr>
              <w:t>新增外贸出口企业</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年新增外贸出口企业数量</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767" w:type="dxa"/>
            <w:tcBorders>
              <w:tl2br w:val="nil"/>
              <w:tr2bl w:val="nil"/>
            </w:tcBorders>
            <w:vAlign w:val="center"/>
          </w:tcPr>
          <w:p>
            <w:pPr>
              <w:widowControl/>
              <w:tabs>
                <w:tab w:val="left" w:pos="713"/>
              </w:tabs>
              <w:adjustRightInd w:val="0"/>
              <w:snapToGrid w:val="0"/>
              <w:rPr>
                <w:rFonts w:hint="eastAsia" w:ascii="方正书宋_GBK" w:eastAsia="方正书宋_GBK"/>
                <w:lang w:eastAsia="zh-CN"/>
              </w:rPr>
            </w:pPr>
            <w:r>
              <w:rPr>
                <w:rFonts w:hint="eastAsia" w:ascii="方正书宋_GBK" w:eastAsia="方正书宋_GBK"/>
                <w:lang w:eastAsia="zh-CN"/>
              </w:rPr>
              <w:t>新增出口企业备案登记统计表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消费扶贫专馆面积数</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运营消费扶贫专馆面积数量</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280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jc w:val="both"/>
              <w:rPr>
                <w:rFonts w:hint="eastAsia" w:ascii="方正书宋_GBK" w:eastAsia="方正书宋_GBK"/>
                <w:lang w:val="en-US" w:eastAsia="zh-CN"/>
              </w:rPr>
            </w:pPr>
            <w:r>
              <w:rPr>
                <w:rFonts w:hint="eastAsia" w:ascii="方正书宋_GBK" w:eastAsia="方正书宋_GBK"/>
                <w:lang w:val="en-US" w:eastAsia="zh-CN"/>
              </w:rPr>
              <w:t>房屋租赁协议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安全生产培训次数</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安全生产培训次数</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次</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19"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限额以上批零住餐补贴企业数量</w:t>
            </w:r>
          </w:p>
        </w:tc>
        <w:tc>
          <w:tcPr>
            <w:tcW w:w="73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限额以上批零住餐补贴企业数量</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767" w:type="dxa"/>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rPr>
              <w:t>统计局提供入统企业名单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客商到会率</w:t>
            </w:r>
          </w:p>
        </w:tc>
        <w:tc>
          <w:tcPr>
            <w:tcW w:w="735" w:type="dxa"/>
            <w:tcBorders>
              <w:tl2br w:val="nil"/>
              <w:tr2bl w:val="nil"/>
            </w:tcBorders>
            <w:vAlign w:val="center"/>
          </w:tcPr>
          <w:p>
            <w:pPr>
              <w:numPr>
                <w:ilvl w:val="0"/>
                <w:numId w:val="0"/>
              </w:numPr>
              <w:bidi w:val="0"/>
              <w:ind w:firstLine="210" w:firstLineChars="100"/>
              <w:jc w:val="both"/>
              <w:rPr>
                <w:rFonts w:hint="default" w:ascii="Calibri" w:hAnsi="Calibri" w:eastAsia="宋体" w:cs="Arial"/>
                <w:kern w:val="2"/>
                <w:sz w:val="21"/>
                <w:szCs w:val="22"/>
                <w:lang w:val="en-US" w:eastAsia="zh-CN" w:bidi="ar-SA"/>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ind w:firstLine="275" w:firstLineChars="0"/>
              <w:rPr>
                <w:rFonts w:ascii="方正书宋_GBK" w:eastAsia="方正书宋_GBK"/>
              </w:rPr>
            </w:pPr>
            <w:r>
              <w:rPr>
                <w:rFonts w:hint="eastAsia" w:ascii="方正书宋_GBK" w:eastAsia="方正书宋_GBK"/>
              </w:rPr>
              <w:t>实际参会客商占计划人数比率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出口奖励资金发放率</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604"/>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出口奖励资金发放率</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tabs>
                <w:tab w:val="left" w:pos="878"/>
              </w:tabs>
              <w:adjustRightInd w:val="0"/>
              <w:snapToGrid w:val="0"/>
              <w:rPr>
                <w:rFonts w:hint="eastAsia" w:ascii="方正书宋_GBK" w:eastAsia="方正书宋_GBK"/>
                <w:lang w:eastAsia="zh-CN"/>
              </w:rPr>
            </w:pPr>
            <w:r>
              <w:rPr>
                <w:rFonts w:hint="eastAsia" w:ascii="方正书宋_GBK" w:eastAsia="方正书宋_GBK"/>
                <w:lang w:eastAsia="zh-CN"/>
              </w:rPr>
              <w:t>《三河市外贸出口奖励办法》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2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日常工作保障比率</w:t>
            </w:r>
          </w:p>
        </w:tc>
        <w:tc>
          <w:tcPr>
            <w:tcW w:w="735" w:type="dxa"/>
            <w:tcBorders>
              <w:tl2br w:val="nil"/>
              <w:tr2bl w:val="nil"/>
            </w:tcBorders>
            <w:vAlign w:val="center"/>
          </w:tcPr>
          <w:p>
            <w:pPr>
              <w:widowControl/>
              <w:adjustRightInd w:val="0"/>
              <w:snapToGrid w:val="0"/>
              <w:ind w:firstLine="229" w:firstLineChars="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项目对扶贫专馆日常工作保障情况</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抽查覆盖率</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829"/>
              </w:tabs>
              <w:adjustRightInd w:val="0"/>
              <w:snapToGrid w:val="0"/>
              <w:rPr>
                <w:rFonts w:hint="eastAsia" w:ascii="方正书宋_GBK" w:eastAsia="方正书宋_GBK"/>
                <w:lang w:eastAsia="zh-CN"/>
              </w:rPr>
            </w:pPr>
            <w:r>
              <w:rPr>
                <w:rFonts w:hint="eastAsia" w:ascii="方正书宋_GBK" w:eastAsia="方正书宋_GBK"/>
                <w:lang w:eastAsia="zh-CN"/>
              </w:rPr>
              <w:t>安全检查活动占所辖企业比率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60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申报企业发放覆盖率</w:t>
            </w:r>
          </w:p>
        </w:tc>
        <w:tc>
          <w:tcPr>
            <w:tcW w:w="735" w:type="dxa"/>
            <w:tcBorders>
              <w:tl2br w:val="nil"/>
              <w:tr2bl w:val="nil"/>
            </w:tcBorders>
            <w:vAlign w:val="center"/>
          </w:tcPr>
          <w:p>
            <w:pPr>
              <w:widowControl/>
              <w:adjustRightInd w:val="0"/>
              <w:snapToGrid w:val="0"/>
              <w:ind w:firstLine="214" w:firstLineChars="0"/>
              <w:rPr>
                <w:rFonts w:hint="default"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补助企业数量占申报企业数量比率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6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60</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《三河市人民政府关于进一步培育壮大规模以上工业企业、规模以上服务业企业、批零住餐限上企业的实施意见（试行）》三政【2016】56号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23" w:hRule="atLeast"/>
          <w:jc w:val="center"/>
        </w:trPr>
        <w:tc>
          <w:tcPr>
            <w:tcW w:w="1035" w:type="dxa"/>
            <w:vMerge w:val="continue"/>
            <w:tcBorders>
              <w:tl2br w:val="nil"/>
              <w:tr2bl w:val="nil"/>
            </w:tcBorders>
            <w:vAlign w:val="center"/>
          </w:tcP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重点工作完成时间</w:t>
            </w:r>
          </w:p>
        </w:tc>
        <w:tc>
          <w:tcPr>
            <w:tcW w:w="73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 xml:space="preserve">无 </w:t>
            </w:r>
          </w:p>
        </w:tc>
        <w:tc>
          <w:tcPr>
            <w:tcW w:w="3390" w:type="dxa"/>
            <w:tcBorders>
              <w:tl2br w:val="nil"/>
              <w:tr2bl w:val="nil"/>
            </w:tcBorders>
            <w:vAlign w:val="center"/>
          </w:tcPr>
          <w:p>
            <w:pPr>
              <w:widowControl/>
              <w:tabs>
                <w:tab w:val="left" w:pos="829"/>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重点工作完成时间</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5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年</w:t>
            </w:r>
          </w:p>
        </w:tc>
        <w:tc>
          <w:tcPr>
            <w:tcW w:w="2767" w:type="dxa"/>
            <w:tcBorders>
              <w:tl2br w:val="nil"/>
              <w:tr2bl w:val="nil"/>
            </w:tcBorders>
            <w:vAlign w:val="center"/>
          </w:tcPr>
          <w:p>
            <w:pPr>
              <w:widowControl/>
              <w:tabs>
                <w:tab w:val="left" w:pos="728"/>
              </w:tabs>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94" w:hRule="atLeast"/>
          <w:jc w:val="center"/>
        </w:trPr>
        <w:tc>
          <w:tcPr>
            <w:tcW w:w="1035" w:type="dxa"/>
            <w:vMerge w:val="continue"/>
            <w:tcBorders>
              <w:tl2br w:val="nil"/>
              <w:tr2bl w:val="nil"/>
            </w:tcBorders>
            <w:vAlign w:val="center"/>
          </w:tcP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一般性支出成本</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844"/>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一般性支出成本</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仿宋_GB2312" w:hAnsi="仿宋_GB2312" w:eastAsia="仿宋_GB2312" w:cs="仿宋_GB2312"/>
                <w:sz w:val="18"/>
                <w:szCs w:val="18"/>
                <w:lang w:val="en-US" w:eastAsia="zh-CN"/>
              </w:rPr>
              <w:t>1667.13</w:t>
            </w:r>
          </w:p>
        </w:tc>
        <w:tc>
          <w:tcPr>
            <w:tcW w:w="555" w:type="dxa"/>
            <w:tcBorders>
              <w:tl2br w:val="nil"/>
              <w:tr2bl w:val="nil"/>
            </w:tcBorders>
            <w:vAlign w:val="center"/>
          </w:tcPr>
          <w:p>
            <w:pPr>
              <w:widowControl/>
              <w:adjustRightInd w:val="0"/>
              <w:snapToGrid w:val="0"/>
              <w:jc w:val="both"/>
              <w:rPr>
                <w:rFonts w:hint="default" w:ascii="方正书宋_GBK" w:eastAsia="方正书宋_GBK"/>
                <w:lang w:val="en-US" w:eastAsia="zh-CN"/>
              </w:rPr>
            </w:pPr>
            <w:r>
              <w:rPr>
                <w:rFonts w:hint="eastAsia" w:ascii="方正书宋_GBK" w:eastAsia="方正书宋_GBK"/>
                <w:lang w:val="en-US" w:eastAsia="zh-CN"/>
              </w:rPr>
              <w:t>万元</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2022年预算批复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3030" w:type="dxa"/>
            <w:tcBorders>
              <w:tl2br w:val="nil"/>
              <w:tr2bl w:val="nil"/>
            </w:tcBorders>
            <w:vAlign w:val="center"/>
          </w:tcPr>
          <w:p>
            <w:pPr>
              <w:widowControl/>
              <w:tabs>
                <w:tab w:val="left" w:pos="1009"/>
              </w:tabs>
              <w:adjustRightInd w:val="0"/>
              <w:snapToGrid w:val="0"/>
              <w:ind w:firstLine="210" w:firstLineChars="100"/>
              <w:rPr>
                <w:rFonts w:hint="eastAsia" w:ascii="方正书宋_GBK" w:eastAsia="方正书宋_GBK"/>
                <w:lang w:eastAsia="zh-CN"/>
              </w:rPr>
            </w:pPr>
            <w:r>
              <w:rPr>
                <w:rFonts w:hint="eastAsia" w:ascii="方正书宋_GBK" w:eastAsia="方正书宋_GBK"/>
                <w:lang w:eastAsia="zh-CN"/>
              </w:rPr>
              <w:t>促进出口企业产业结构调整</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促进出口企业产业结构调整</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5" w:type="dxa"/>
            <w:tcBorders>
              <w:tl2br w:val="nil"/>
              <w:tr2bl w:val="nil"/>
            </w:tcBorders>
            <w:vAlign w:val="center"/>
          </w:tcPr>
          <w:p>
            <w:pPr>
              <w:widowControl/>
              <w:adjustRightInd w:val="0"/>
              <w:snapToGrid w:val="0"/>
              <w:jc w:val="center"/>
              <w:rPr>
                <w:rFonts w:ascii="方正书宋_GBK" w:eastAsia="方正书宋_GBK"/>
              </w:rPr>
            </w:pP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有效促进</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优化营商环境，促进产业结构改善</w:t>
            </w:r>
          </w:p>
        </w:tc>
        <w:tc>
          <w:tcPr>
            <w:tcW w:w="73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717"/>
              </w:tabs>
              <w:adjustRightInd w:val="0"/>
              <w:snapToGrid w:val="0"/>
              <w:rPr>
                <w:rFonts w:hint="eastAsia" w:ascii="方正书宋_GBK" w:eastAsia="方正书宋_GBK"/>
                <w:lang w:eastAsia="zh-CN"/>
              </w:rPr>
            </w:pPr>
            <w:r>
              <w:rPr>
                <w:rFonts w:hint="eastAsia" w:ascii="方正书宋_GBK" w:eastAsia="方正书宋_GBK"/>
                <w:lang w:eastAsia="zh-CN"/>
              </w:rPr>
              <w:t>优化营商环境，促进产业结构改善</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5" w:type="dxa"/>
            <w:tcBorders>
              <w:tl2br w:val="nil"/>
              <w:tr2bl w:val="nil"/>
            </w:tcBorders>
            <w:vAlign w:val="center"/>
          </w:tcPr>
          <w:p>
            <w:pPr>
              <w:widowControl/>
              <w:adjustRightInd w:val="0"/>
              <w:snapToGrid w:val="0"/>
              <w:jc w:val="center"/>
              <w:rPr>
                <w:rFonts w:ascii="方正书宋_GBK" w:eastAsia="方正书宋_GBK"/>
              </w:rPr>
            </w:pP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有效促进</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促进企业转型升级率</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促进此类型企业转型升级比率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0.28</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tabs>
                <w:tab w:val="left" w:pos="754"/>
              </w:tabs>
              <w:adjustRightInd w:val="0"/>
              <w:snapToGrid w:val="0"/>
              <w:rPr>
                <w:rFonts w:hint="eastAsia" w:ascii="方正书宋_GBK" w:eastAsia="方正书宋_GBK"/>
                <w:lang w:eastAsia="zh-CN"/>
              </w:rPr>
            </w:pPr>
            <w:r>
              <w:rPr>
                <w:rFonts w:hint="eastAsia" w:ascii="方正书宋_GBK" w:eastAsia="方正书宋_GBK"/>
                <w:lang w:eastAsia="zh-CN"/>
              </w:rPr>
              <w:t>税务局、统计局提供数据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tabs>
                <w:tab w:val="left" w:pos="987"/>
              </w:tabs>
              <w:adjustRightInd w:val="0"/>
              <w:snapToGrid w:val="0"/>
              <w:ind w:firstLine="210" w:firstLineChars="100"/>
              <w:rPr>
                <w:rFonts w:hint="eastAsia" w:ascii="方正书宋_GBK" w:eastAsia="方正书宋_GBK"/>
                <w:lang w:eastAsia="zh-CN"/>
              </w:rPr>
            </w:pPr>
            <w:r>
              <w:rPr>
                <w:rFonts w:hint="eastAsia" w:ascii="方正书宋_GBK" w:eastAsia="方正书宋_GBK"/>
                <w:lang w:eastAsia="zh-CN"/>
              </w:rPr>
              <w:t>重大安全生产事故发生起数</w:t>
            </w:r>
          </w:p>
        </w:tc>
        <w:tc>
          <w:tcPr>
            <w:tcW w:w="735" w:type="dxa"/>
            <w:tcBorders>
              <w:tl2br w:val="nil"/>
              <w:tr2bl w:val="nil"/>
            </w:tcBorders>
            <w:vAlign w:val="center"/>
          </w:tcPr>
          <w:p>
            <w:pPr>
              <w:widowControl/>
              <w:adjustRightInd w:val="0"/>
              <w:snapToGrid w:val="0"/>
              <w:ind w:firstLine="237" w:firstLineChars="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807"/>
              </w:tabs>
              <w:adjustRightInd w:val="0"/>
              <w:snapToGrid w:val="0"/>
              <w:rPr>
                <w:rFonts w:hint="eastAsia" w:ascii="方正书宋_GBK" w:eastAsia="方正书宋_GBK"/>
                <w:lang w:eastAsia="zh-CN"/>
              </w:rPr>
            </w:pPr>
            <w:r>
              <w:rPr>
                <w:rFonts w:hint="eastAsia" w:ascii="方正书宋_GBK" w:eastAsia="方正书宋_GBK"/>
                <w:lang w:eastAsia="zh-CN"/>
              </w:rPr>
              <w:t>通过项目实施重大安全生产事故发生情况</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起</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增加贫困地区产品销售额，巩固脱贫攻坚成果</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增加贫困地区产品销售额，巩固脱贫攻坚成果</w:t>
            </w:r>
          </w:p>
        </w:tc>
        <w:tc>
          <w:tcPr>
            <w:tcW w:w="57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文字描述</w:t>
            </w:r>
          </w:p>
        </w:tc>
        <w:tc>
          <w:tcPr>
            <w:tcW w:w="675" w:type="dxa"/>
            <w:tcBorders>
              <w:tl2br w:val="nil"/>
              <w:tr2bl w:val="nil"/>
            </w:tcBorders>
            <w:vAlign w:val="center"/>
          </w:tcPr>
          <w:p>
            <w:pPr>
              <w:widowControl/>
              <w:adjustRightInd w:val="0"/>
              <w:snapToGrid w:val="0"/>
              <w:jc w:val="center"/>
              <w:rPr>
                <w:rFonts w:ascii="方正书宋_GBK" w:eastAsia="方正书宋_GBK"/>
              </w:rPr>
            </w:pPr>
          </w:p>
        </w:tc>
        <w:tc>
          <w:tcPr>
            <w:tcW w:w="555" w:type="dxa"/>
            <w:tcBorders>
              <w:tl2br w:val="nil"/>
              <w:tr2bl w:val="nil"/>
            </w:tcBorders>
            <w:vAlign w:val="center"/>
          </w:tcPr>
          <w:p>
            <w:pPr>
              <w:widowControl/>
              <w:tabs>
                <w:tab w:val="left" w:pos="214"/>
              </w:tabs>
              <w:adjustRightInd w:val="0"/>
              <w:snapToGrid w:val="0"/>
              <w:jc w:val="left"/>
              <w:rPr>
                <w:rFonts w:hint="eastAsia" w:ascii="方正书宋_GBK" w:eastAsia="方正书宋_GBK"/>
                <w:lang w:eastAsia="zh-CN"/>
              </w:rPr>
            </w:pPr>
            <w:r>
              <w:rPr>
                <w:rFonts w:hint="eastAsia" w:ascii="方正书宋_GBK" w:eastAsia="方正书宋_GBK"/>
                <w:lang w:eastAsia="zh-CN"/>
              </w:rPr>
              <w:t>持续巩固</w:t>
            </w:r>
          </w:p>
        </w:tc>
        <w:tc>
          <w:tcPr>
            <w:tcW w:w="276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获奖企业出口额增</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912"/>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获奖企业出口额增长率</w:t>
            </w:r>
          </w:p>
        </w:tc>
        <w:tc>
          <w:tcPr>
            <w:tcW w:w="578"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 xml:space="preserve">  5</w:t>
            </w:r>
          </w:p>
        </w:tc>
        <w:tc>
          <w:tcPr>
            <w:tcW w:w="55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达成合作意向总投资额</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活动期间达成合作意向总投资额</w:t>
            </w:r>
          </w:p>
        </w:tc>
        <w:tc>
          <w:tcPr>
            <w:tcW w:w="578"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20</w:t>
            </w:r>
          </w:p>
        </w:tc>
        <w:tc>
          <w:tcPr>
            <w:tcW w:w="555"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亿元</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continue"/>
            <w:tcBorders>
              <w:tl2br w:val="nil"/>
              <w:tr2bl w:val="nil"/>
            </w:tcBorders>
            <w:vAlign w:val="center"/>
          </w:tcP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303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群众满意程度</w:t>
            </w:r>
          </w:p>
        </w:tc>
        <w:tc>
          <w:tcPr>
            <w:tcW w:w="735" w:type="dxa"/>
            <w:tcBorders>
              <w:tl2br w:val="nil"/>
              <w:tr2bl w:val="nil"/>
            </w:tcBorders>
            <w:noWrap/>
            <w:vAlign w:val="center"/>
          </w:tcPr>
          <w:p>
            <w:pPr>
              <w:widowControl/>
              <w:adjustRightInd w:val="0"/>
              <w:snapToGrid w:val="0"/>
              <w:ind w:firstLine="237" w:firstLineChars="0"/>
              <w:jc w:val="both"/>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ind w:firstLine="210" w:firstLineChars="100"/>
              <w:jc w:val="center"/>
              <w:rPr>
                <w:rFonts w:ascii="方正书宋_GBK" w:eastAsia="方正书宋_GBK"/>
              </w:rPr>
            </w:pPr>
            <w:r>
              <w:rPr>
                <w:rFonts w:hint="eastAsia" w:ascii="方正书宋_GBK" w:eastAsia="方正书宋_GBK"/>
              </w:rPr>
              <w:t>居民群众对部门工作的满意度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restart"/>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上级主管部门满意度</w:t>
            </w:r>
          </w:p>
        </w:tc>
        <w:tc>
          <w:tcPr>
            <w:tcW w:w="735" w:type="dxa"/>
            <w:tcBorders>
              <w:tl2br w:val="nil"/>
              <w:tr2bl w:val="nil"/>
            </w:tcBorders>
            <w:noWrap/>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上级主管部门对部门工作的满意度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同级监督部门满意度</w:t>
            </w:r>
          </w:p>
        </w:tc>
        <w:tc>
          <w:tcPr>
            <w:tcW w:w="735" w:type="dxa"/>
            <w:tcBorders>
              <w:tl2br w:val="nil"/>
              <w:tr2bl w:val="nil"/>
            </w:tcBorders>
            <w:noWrap/>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同级监督部门对部门工作的满意度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noWrap/>
            <w:vAlign w:val="center"/>
          </w:tcPr>
          <w:p>
            <w:pPr>
              <w:widowControl/>
              <w:tabs>
                <w:tab w:val="left" w:pos="1002"/>
              </w:tabs>
              <w:adjustRightInd w:val="0"/>
              <w:snapToGrid w:val="0"/>
              <w:ind w:firstLine="420" w:firstLineChars="200"/>
              <w:rPr>
                <w:rFonts w:hint="eastAsia" w:ascii="方正书宋_GBK" w:eastAsia="方正书宋_GBK"/>
                <w:lang w:eastAsia="zh-CN"/>
              </w:rPr>
            </w:pPr>
            <w:r>
              <w:rPr>
                <w:rFonts w:hint="eastAsia" w:ascii="方正书宋_GBK" w:eastAsia="方正书宋_GBK"/>
                <w:lang w:eastAsia="zh-CN"/>
              </w:rPr>
              <w:t>下级协助部门满意度</w:t>
            </w:r>
          </w:p>
        </w:tc>
        <w:tc>
          <w:tcPr>
            <w:tcW w:w="735" w:type="dxa"/>
            <w:tcBorders>
              <w:tl2br w:val="nil"/>
              <w:tr2bl w:val="nil"/>
            </w:tcBorders>
            <w:noWrap/>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下级协助部门对部门工作的满意度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安全生产活动经费绩效目标表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6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1.通过对商贸流通领域企业进行安全生产检查、指导、宣传、培训等工作活动，保障其安全生产工作进一步完善，最大限度消除安全隐患。</w:t>
            </w:r>
          </w:p>
          <w:p>
            <w:pPr>
              <w:spacing w:line="300" w:lineRule="exact"/>
              <w:ind w:firstLine="419" w:firstLineChars="0"/>
              <w:rPr>
                <w:rFonts w:hint="eastAsia" w:ascii="仿宋_GB2312" w:hAnsi="仿宋_GB2312" w:eastAsia="仿宋_GB2312" w:cs="仿宋_GB2312"/>
                <w:b/>
              </w:rPr>
            </w:pPr>
            <w:r>
              <w:rPr>
                <w:rFonts w:hint="eastAsia" w:ascii="仿宋_GB2312" w:hAnsi="仿宋_GB2312" w:eastAsia="仿宋_GB2312" w:cs="仿宋_GB2312"/>
              </w:rPr>
              <w:t>2.通过项目的开展，完成对重点商贸流通企业的检查、指导、宣传、培训等工作，实现其安全生产工作取得明显改善。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检查企业次数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组织安全检查活动次数</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安全生产培训次数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安全生产培训次数</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安全手册发放量</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发放安全手册数量</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≥300份</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隐患整改率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已整改隐患占发现隐患比率</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抽查覆盖率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安全检查活动占所辖企业比率</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项目完成时间</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项目完成时间</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安全工作培训成本</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安全工作培训成本</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≤300元/天</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w:t>
            </w:r>
            <w:r>
              <w:rPr>
                <w:rFonts w:hint="eastAsia" w:ascii="仿宋_GB2312" w:hAnsi="仿宋_GB2312" w:eastAsia="仿宋_GB2312" w:cs="仿宋_GB2312"/>
                <w:lang w:val="en-US" w:eastAsia="zh-CN"/>
              </w:rPr>
              <w:t>益</w:t>
            </w:r>
            <w:r>
              <w:rPr>
                <w:rFonts w:hint="eastAsia" w:ascii="仿宋_GB2312" w:hAnsi="仿宋_GB2312" w:eastAsia="仿宋_GB2312" w:cs="仿宋_GB2312"/>
              </w:rPr>
              <w:t>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重大安全生产事故发生起数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通过项目实施重大安全生产事故发生情况</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≤1起</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安全事故有效处理</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安全事故第一时间有效处理</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处理及时有效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事故处理报告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提高安全生产监管水平</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提高安全生产监管水平</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有效提高</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群众对安全工作满意程度</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监管企业满意程度</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档案业务经费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7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lang w:eastAsia="zh-CN"/>
              </w:rPr>
            </w:pPr>
            <w:r>
              <w:rPr>
                <w:rFonts w:hint="eastAsia" w:ascii="仿宋_GB2312" w:hAnsi="仿宋_GB2312" w:eastAsia="仿宋_GB2312" w:cs="仿宋_GB2312"/>
              </w:rPr>
              <w:t>1.通过加强档案业务管理相关工作，力争到本年底达到2A级管理水平</w:t>
            </w:r>
            <w:r>
              <w:rPr>
                <w:rFonts w:hint="eastAsia" w:ascii="仿宋_GB2312" w:hAnsi="仿宋_GB2312" w:eastAsia="仿宋_GB2312" w:cs="仿宋_GB2312"/>
                <w:lang w:eastAsia="zh-CN"/>
              </w:rPr>
              <w:t>。</w:t>
            </w:r>
          </w:p>
          <w:p>
            <w:pPr>
              <w:tabs>
                <w:tab w:val="left" w:pos="779"/>
              </w:tabs>
              <w:spacing w:line="300" w:lineRule="exact"/>
              <w:rPr>
                <w:rFonts w:hint="eastAsia" w:ascii="Times New Roman" w:hAnsi="Times New Roman" w:eastAsia="仿宋_GB2312" w:cs="Times New Roman"/>
                <w:b/>
                <w:lang w:eastAsia="zh-CN"/>
              </w:rPr>
            </w:pPr>
            <w:r>
              <w:rPr>
                <w:rFonts w:hint="eastAsia" w:ascii="仿宋_GB2312" w:hAnsi="仿宋_GB2312" w:eastAsia="仿宋_GB2312" w:cs="仿宋_GB2312"/>
              </w:rPr>
              <w:t>2.通过项目的开展，力争实现省政府办公厅档案管理“十四五”目标</w:t>
            </w:r>
            <w:r>
              <w:rPr>
                <w:rFonts w:hint="eastAsia" w:ascii="仿宋_GB2312" w:hAnsi="仿宋_GB2312" w:eastAsia="仿宋_GB2312" w:cs="仿宋_GB231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录入档案信息数量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录入档案信息数量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参加培训次数</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参加培训次数</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档案室建设工作完成率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档案室建设工作完成情况百分比</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档案录入单位成本</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档案录入单位成本</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≤50元/条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提高档案质量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提高档案质量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不断提高</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服务对象满意程度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解决历史遗留问题经费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8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tabs>
                <w:tab w:val="left" w:pos="779"/>
              </w:tabs>
              <w:spacing w:line="300" w:lineRule="exact"/>
              <w:rPr>
                <w:rFonts w:hint="eastAsia" w:ascii="仿宋_GB2312" w:hAnsi="仿宋_GB2312" w:eastAsia="仿宋_GB2312" w:cs="仿宋_GB2312"/>
              </w:rPr>
            </w:pPr>
            <w:r>
              <w:rPr>
                <w:rFonts w:hint="eastAsia" w:ascii="仿宋_GB2312" w:hAnsi="仿宋_GB2312" w:eastAsia="仿宋_GB2312" w:cs="仿宋_GB2312"/>
              </w:rPr>
              <w:t>1.通过解决三总历史遗留问题，实现维护各类人群思想稳定、保证社会稳定，维护社会秩序</w:t>
            </w:r>
          </w:p>
          <w:p>
            <w:pPr>
              <w:tabs>
                <w:tab w:val="left" w:pos="779"/>
              </w:tabs>
              <w:spacing w:line="300" w:lineRule="exact"/>
              <w:rPr>
                <w:rFonts w:hint="eastAsia" w:ascii="Times New Roman" w:hAnsi="Times New Roman" w:eastAsia="仿宋_GB2312" w:cs="Times New Roman"/>
                <w:b/>
                <w:lang w:eastAsia="zh-CN"/>
              </w:rPr>
            </w:pPr>
            <w:r>
              <w:rPr>
                <w:rFonts w:hint="eastAsia" w:ascii="仿宋_GB2312" w:hAnsi="仿宋_GB2312" w:eastAsia="仿宋_GB2312" w:cs="仿宋_GB2312"/>
              </w:rPr>
              <w:t>2.通过对下岗人员、涉军群体、法轮功人员等群体进行看护、接访，发放特困补助、对外贸家属楼物业管理等工作开展，解决三总历史遗留问题，保障各类人群思想稳定，确保不出现非法上访事件。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慰问人员数量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全年慰问人员数量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≥60人</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慰问人员覆盖率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慰问人员占三总全部退休及特困人员比率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慰问工作完成时间</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慰问工作完成时间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慰问标准</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每人慰问标准</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≤1000元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预防和减少不稳定隐患率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上访事件及人数与上年同期相比减少比率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受益群体满意度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三总特困群体满意程度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调查问卷或电话调查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4.三河市消费扶贫专馆运营资金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405"/>
        <w:gridCol w:w="1845"/>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2"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1.通过项目开展，连接打通销售渠道，展销本地和外地优质扶贫产品。</w:t>
            </w:r>
          </w:p>
          <w:p>
            <w:pPr>
              <w:pStyle w:val="14"/>
              <w:rPr>
                <w:rFonts w:hint="eastAsia" w:ascii="仿宋_GB2312" w:hAnsi="仿宋_GB2312" w:eastAsia="仿宋_GB2312" w:cs="仿宋_GB2312"/>
                <w:b/>
                <w:lang w:eastAsia="zh-CN"/>
              </w:rPr>
            </w:pPr>
            <w:r>
              <w:rPr>
                <w:rFonts w:hint="eastAsia" w:ascii="仿宋_GB2312" w:hAnsi="仿宋_GB2312" w:eastAsia="仿宋_GB2312" w:cs="仿宋_GB2312"/>
              </w:rPr>
              <w:t>2.巩固脱贫成果，助力脱贫攻坚。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7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消费扶贫专馆面积数</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运营消费扶贫专馆面积数量</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280㎡</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日常工作保障比率</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项目对扶贫专馆日常工作保障情况</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项目租金到位及时性</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项目租金拨付时间</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消费扶贫专馆租金成本</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消费扶贫专馆租赁租金成本</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2元/平方米/天</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增加贫困地区产品销售额，巩固脱贫攻坚成果</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增加贫困地区产品销售额，巩固脱贫攻坚成果</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持续巩固</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承租单位满意度</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承租单位满意度</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扶贫产品销售企业满意度</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5.招商引资活动经费.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875"/>
        <w:gridCol w:w="1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9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b w:val="0"/>
                <w:bCs w:val="0"/>
              </w:rPr>
            </w:pPr>
            <w:r>
              <w:rPr>
                <w:rFonts w:hint="eastAsia" w:ascii="仿宋_GB2312" w:hAnsi="仿宋_GB2312" w:eastAsia="仿宋_GB2312" w:cs="仿宋_GB2312"/>
                <w:b w:val="0"/>
                <w:bCs w:val="0"/>
              </w:rPr>
              <w:t>1.通过组织企业参加各项展会及投资洽谈活动，保障全市招商引资工作取得明显成效，为我市经济发展奠定坚实基础。</w:t>
            </w:r>
          </w:p>
          <w:p>
            <w:pPr>
              <w:tabs>
                <w:tab w:val="left" w:pos="779"/>
              </w:tabs>
              <w:spacing w:line="300" w:lineRule="exact"/>
              <w:rPr>
                <w:rFonts w:hint="eastAsia" w:ascii="仿宋_GB2312" w:hAnsi="仿宋_GB2312" w:eastAsia="仿宋_GB2312" w:cs="仿宋_GB2312"/>
                <w:b/>
                <w:lang w:eastAsia="zh-CN"/>
              </w:rPr>
            </w:pPr>
            <w:r>
              <w:rPr>
                <w:rFonts w:hint="eastAsia" w:ascii="仿宋_GB2312" w:hAnsi="仿宋_GB2312" w:eastAsia="仿宋_GB2312" w:cs="仿宋_GB2312"/>
                <w:b w:val="0"/>
                <w:bCs w:val="0"/>
              </w:rPr>
              <w:t>2.通过参加5.18经洽会、进口博览会等各项展会，和客商对接洽谈，实现宣传推介三河的良好效果。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招商活动数量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组织企业参加活动数量</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≥4次</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客商到会率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实际参会客商占计划人数比率</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完成招商活动时间</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按照计开展招商活动时间</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会议成本标准</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参会人员单位成本</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≤400元/人/天</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达成合作意向总投资额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活动期间达成合作意向总投资额</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≥20亿元</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优化营商环境，促进产业结构改善</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优化营商环境，促进产业结构改善</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有效促进</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客商满意度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参会客商对我市投资环境及活动效果满意度</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电话或问卷调查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服务对象满意程度</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仿宋_GB2312" w:hAnsi="仿宋_GB2312" w:eastAsia="仿宋_GB2312" w:cs="仿宋_GB2312"/>
          <w:b w:val="0"/>
          <w:bCs/>
          <w:color w:val="000000"/>
          <w:sz w:val="28"/>
        </w:rPr>
        <w:t>综合业务经费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2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420"/>
        <w:gridCol w:w="1441"/>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17" w:type="dxa"/>
            <w:gridSpan w:val="5"/>
            <w:shd w:val="clear" w:color="auto" w:fill="auto"/>
            <w:vAlign w:val="center"/>
          </w:tcPr>
          <w:p>
            <w:pPr>
              <w:tabs>
                <w:tab w:val="left" w:pos="779"/>
              </w:tabs>
              <w:spacing w:line="300" w:lineRule="exac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1.通过聘请法律顾问并支付费用，为我部门法律咨询服务、诉讼等问题得到及时妥善处理。</w:t>
            </w:r>
          </w:p>
          <w:p>
            <w:pPr>
              <w:tabs>
                <w:tab w:val="left" w:pos="779"/>
              </w:tabs>
              <w:spacing w:line="300" w:lineRule="exac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2.通过专网使用，提高工作效率，保障上级交办工作及时完成。</w:t>
            </w:r>
          </w:p>
          <w:p>
            <w:pPr>
              <w:tabs>
                <w:tab w:val="left" w:pos="779"/>
              </w:tabs>
              <w:spacing w:line="300" w:lineRule="exact"/>
              <w:rPr>
                <w:rFonts w:hint="eastAsia" w:ascii="Times New Roman" w:hAnsi="Times New Roman" w:eastAsia="仿宋_GB2312" w:cs="Times New Roman"/>
                <w:b w:val="0"/>
                <w:bCs/>
                <w:lang w:eastAsia="zh-CN"/>
              </w:rPr>
            </w:pPr>
            <w:r>
              <w:rPr>
                <w:rFonts w:hint="eastAsia" w:ascii="仿宋_GB2312" w:hAnsi="仿宋_GB2312" w:eastAsia="仿宋_GB2312" w:cs="仿宋_GB2312"/>
                <w:b w:val="0"/>
                <w:bCs/>
                <w:lang w:eastAsia="zh-CN"/>
              </w:rPr>
              <w:t>3.通过集中整治成品油市场，加大成品油市场整治力度，促进成品油市场健康有序发展。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3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起草合同数量</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起草合同数量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 xml:space="preserve">  ≥2个</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检查企业数量</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检查企业数量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≥65家</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平台覆盖科室数</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平台覆盖科室数量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≥2个</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行为投诉率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全年监督检查行为被投诉次数与检查次数比率</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抽查企业合格率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抽查对象合格数量占全部企业比率</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≧85%</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非正常停机率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非正常停机占比情况</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4"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资金拨付时间</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支付咨询费、网络使用费时间</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网络使用成本</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网络使用成本</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1.2万元/年</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网络使用协议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法律顾问人均成本</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法律顾问人均成本</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2万元</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维护成品油市场经济秩序</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维护成品油市场经济秩序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有效维护</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提高工作效率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节约成本，提高工作效率</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有效提高</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减少大气污染</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减少大气污染</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有效减少</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2021年第三批省商贸流通发展专项资金绩效目标表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790"/>
        <w:gridCol w:w="300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lang w:eastAsia="zh-CN"/>
              </w:rPr>
            </w:pPr>
            <w:r>
              <w:rPr>
                <w:rFonts w:hint="eastAsia" w:ascii="仿宋_GB2312" w:hAnsi="仿宋_GB2312" w:eastAsia="仿宋_GB2312" w:cs="仿宋_GB2312"/>
              </w:rPr>
              <w:t>1.发挥便利店服务民生和促进消费的重要作用</w:t>
            </w:r>
            <w:r>
              <w:rPr>
                <w:rFonts w:hint="eastAsia" w:ascii="仿宋_GB2312" w:hAnsi="仿宋_GB2312" w:eastAsia="仿宋_GB2312" w:cs="仿宋_GB2312"/>
                <w:lang w:eastAsia="zh-CN"/>
              </w:rPr>
              <w:t>。</w:t>
            </w:r>
          </w:p>
          <w:p>
            <w:pPr>
              <w:tabs>
                <w:tab w:val="left" w:pos="779"/>
              </w:tabs>
              <w:spacing w:line="300" w:lineRule="exact"/>
              <w:rPr>
                <w:rFonts w:hint="eastAsia" w:ascii="Times New Roman" w:hAnsi="Times New Roman" w:eastAsia="仿宋_GB2312" w:cs="Times New Roman"/>
                <w:b/>
                <w:lang w:eastAsia="zh-CN"/>
              </w:rPr>
            </w:pPr>
            <w:r>
              <w:rPr>
                <w:rFonts w:hint="eastAsia" w:ascii="仿宋_GB2312" w:hAnsi="仿宋_GB2312" w:eastAsia="仿宋_GB2312" w:cs="仿宋_GB2312"/>
              </w:rPr>
              <w:t>2.通过外贸发展专项资金的拨付，实现引导企业优质高效开拓国际市场，优化市场布局，扩大市场空间、保持成交规模、稳定市场份额的目标</w:t>
            </w:r>
            <w:r>
              <w:rPr>
                <w:rFonts w:hint="eastAsia" w:ascii="仿宋_GB2312" w:hAnsi="仿宋_GB2312" w:eastAsia="仿宋_GB2312" w:cs="仿宋_GB231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7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新建连锁便利店数量</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新建连锁便利店数量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《关于推进品牌连锁便利店发展的意见》（冀商流通字〔2019〕12号）、《关于印发〈推进疫后商业消费释放回补扩容提质工作计划〉的通知》（冀商流通字〔2020〕3号）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支持企业数量</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符合政策给予奖补的企业</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《河北省财政厅2021年外经贸发展专项资金推动服务贸易创新发展项目资金》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便利店建成达标率</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项目建设达标比率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廊坊市商务局关于开展品牌连锁便利店建设验收工作的通知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申报企业合格率</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申报材料符合上级文件要求</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企业提供的情况报表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拨付时间</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每家企业奖补金额</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每家企业奖补金额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≤13.75万元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河北省商务厅关于抓紧申领品牌连锁便利店省财政奖励资金的通知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促进消费</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便利店实现销售额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≥2500万元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企业营业额增加</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企业营业额增加</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改善服务环境</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服务环境改善情况</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文字描述</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带动新的重点服务外包企业</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新增重点服务外包企业数量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8.2021年外贸发展专项资金（落实“六稳”政策补助）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2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1.通过外贸发展专项资金的拨付，实现引导企业优质高效开拓国际市场，优化市场布局，扩大市场空间、保持成交规模、稳定市场份额的目标</w:t>
            </w:r>
          </w:p>
          <w:p>
            <w:pPr>
              <w:tabs>
                <w:tab w:val="left" w:pos="779"/>
              </w:tabs>
              <w:spacing w:line="300" w:lineRule="exact"/>
              <w:rPr>
                <w:rFonts w:hint="eastAsia" w:ascii="仿宋_GB2312" w:hAnsi="仿宋_GB2312" w:eastAsia="仿宋_GB2312" w:cs="仿宋_GB2312"/>
                <w:b/>
                <w:lang w:eastAsia="zh-CN"/>
              </w:rPr>
            </w:pPr>
            <w:r>
              <w:rPr>
                <w:rFonts w:hint="eastAsia" w:ascii="仿宋_GB2312" w:hAnsi="仿宋_GB2312" w:eastAsia="仿宋_GB2312" w:cs="仿宋_GB2312"/>
              </w:rPr>
              <w:t>2.通过外贸发展专项资金的拨付鼓励企业发展外向型经济，实现企业业务额的增长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支持企业数量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符合政策给予奖补的企业</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《2021年外贸发展专项资金（落实六稳政策补助）》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申报企业合格率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申报材料符合上级文件要求</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企业提供的情况报表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拨付时间</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《2021年外贸发展专项资金（落实六稳政策补助）》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奖补金额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企业受奖补资金总额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《2021年外贸发展专项资金（落实六稳政策补助）》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带动新的出口企业</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新增备案出口企业数量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商务部统一业务平台统计数据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企业纳税额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企业上缴税额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9.外贸出口奖励专项资金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835"/>
        <w:gridCol w:w="2955"/>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1.通过奖励资金的发放，实现对外经济合作业务稳定增长。</w:t>
            </w:r>
          </w:p>
          <w:p>
            <w:pPr>
              <w:pStyle w:val="14"/>
              <w:rPr>
                <w:rFonts w:hint="eastAsia" w:ascii="仿宋_GB2312" w:hAnsi="仿宋_GB2312" w:eastAsia="仿宋_GB2312" w:cs="仿宋_GB2312"/>
                <w:b/>
                <w:lang w:eastAsia="zh-CN"/>
              </w:rPr>
            </w:pPr>
            <w:r>
              <w:rPr>
                <w:rFonts w:hint="eastAsia" w:ascii="仿宋_GB2312" w:hAnsi="仿宋_GB2312" w:eastAsia="仿宋_GB2312" w:cs="仿宋_GB2312"/>
              </w:rPr>
              <w:t>2.通过奖励资金的发放，保障优化外贸商品结构、市场结构、主体结构、贸易方式结构，促进对外贸易额稳定增长。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新增外贸出口企业</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年新增外贸出口企业数量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新增出口企业备案登记统计表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补助企业数量（家）</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补助企业数量（家）</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出口奖励资金发放率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出口奖励资金发放率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发放奖励资金时间</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发放奖励资金时间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发放奖补资金平均成本</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发放奖补资金平均成本</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获奖企业出口额增长率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获奖企业出口额增长率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促进出口企业产业结构调整</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促进出口企业产业结构调整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有效促进</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10.限额以上批零住餐企业奖励资金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835"/>
        <w:gridCol w:w="2955"/>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tabs>
                <w:tab w:val="left" w:pos="779"/>
              </w:tabs>
              <w:spacing w:line="300" w:lineRule="exac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1.通过对限额以上批零住餐企业摸底调查并对具备相应规模企业进行奖励，进一步提升我市企业综合竞争力，推动经历结构调整和产业转型升级，使规模以上服务业企业和批零住餐限上企业进一步做大做强。</w:t>
            </w:r>
          </w:p>
          <w:p>
            <w:pPr>
              <w:tabs>
                <w:tab w:val="left" w:pos="779"/>
              </w:tabs>
              <w:spacing w:line="300" w:lineRule="exac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2.通过对企业相关情况进行排查，为符合入统条件的企业发放奖励金，保障全市经济向优质高端发展。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补助企业个数</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统计局提供入统企业名单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申报企业发放覆盖率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补助企业数量占申报企业数量比率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《三河市人民政府关于进一步培育壮大规模以上工业企业、规模以上服务业企业、批零住餐限上企业的实施意见（试行）》三政【2016】56号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资金发放时间</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为入统企业发放奖励资金时间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补助企业平均成本</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补助企业平均成本</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《三河市人民政府关于进一步培育壮大规模以上工业企业、规模以上服务业企业、批零住餐限上企业的实施意见（试行）》三政【2016】56号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促进企业转型升级率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促进此类型企业转型升级比率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≥0.28％</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税务局、统计局提供数据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调整限上企业产业结构</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调整我市限上企业产业结构</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加快调整</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补助企业满意度</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受补助企业满意程度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w:t>
      </w:r>
      <w:r>
        <w:rPr>
          <w:rFonts w:hint="eastAsia" w:ascii="仿宋_GB2312" w:hAnsi="仿宋_GB2312" w:eastAsia="仿宋_GB2312" w:cs="仿宋_GB2312"/>
          <w:bCs/>
          <w:sz w:val="32"/>
          <w:szCs w:val="32"/>
        </w:rPr>
        <w:t>我部门未安排政府采购预算，并显示空表</w:t>
      </w:r>
      <w:r>
        <w:rPr>
          <w:rFonts w:hint="eastAsia" w:ascii="仿宋_GB2312" w:hAnsi="仿宋_GB2312" w:eastAsia="仿宋_GB2312" w:cs="仿宋_GB2312"/>
          <w:bCs/>
          <w:sz w:val="32"/>
          <w:szCs w:val="32"/>
          <w:lang w:eastAsia="zh-CN"/>
        </w:rPr>
        <w:t>。</w:t>
      </w:r>
    </w:p>
    <w:bookmarkEnd w:id="1"/>
    <w:p>
      <w:pPr>
        <w:jc w:val="center"/>
        <w:outlineLvl w:val="1"/>
        <w:rPr>
          <w:rFonts w:hint="eastAsia" w:ascii="方正小标宋_GBK" w:eastAsia="方正小标宋_GBK" w:cs="Times New Roman"/>
          <w:sz w:val="32"/>
        </w:rPr>
      </w:pPr>
      <w:bookmarkStart w:id="2"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lang w:val="en-US" w:eastAsia="zh-CN"/>
        </w:rPr>
        <w:t>部门编码：322</w:t>
      </w:r>
      <w:r>
        <w:rPr>
          <w:rFonts w:hint="eastAsia"/>
          <w:lang w:eastAsia="zh-CN"/>
        </w:rPr>
        <w:t>三河</w:t>
      </w:r>
      <w:r>
        <w:t>市</w:t>
      </w:r>
      <w:r>
        <w:rPr>
          <w:rFonts w:hint="eastAsia"/>
          <w:lang w:val="en-US" w:eastAsia="zh-CN"/>
        </w:rPr>
        <w:t>商务局</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806" w:hRule="atLeas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ind w:firstLine="420" w:firstLineChars="200"/>
        <w:jc w:val="left"/>
        <w:rPr>
          <w:rFonts w:ascii="方正仿宋_GBK" w:hAnsi="方正仿宋_GBK" w:eastAsia="方正仿宋_GBK" w:cs="方正仿宋_GBK"/>
          <w:color w:val="000000"/>
        </w:rPr>
      </w:pPr>
      <w:r>
        <w:rPr>
          <w:rFonts w:hint="eastAsia" w:ascii="方正书宋_GBK" w:eastAsia="方正书宋_GBK"/>
        </w:rPr>
        <w:t>注：无政府采购预算，空表列示。</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488.32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仿宋_GB2312" w:hAnsi="仿宋_GB2312" w:eastAsia="仿宋_GB2312" w:cs="仿宋_GB2312"/>
          <w:bCs/>
          <w:sz w:val="32"/>
          <w:szCs w:val="32"/>
        </w:rPr>
        <w:t>无购置固定资产计划。</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商务局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488.32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2260.5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2260.5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26.16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Layout w:type="fixed"/>
          <w:tblCellMar>
            <w:top w:w="0" w:type="dxa"/>
            <w:left w:w="108" w:type="dxa"/>
            <w:bottom w:w="0" w:type="dxa"/>
            <w:right w:w="108" w:type="dxa"/>
          </w:tblCellMar>
        </w:tblPrEx>
        <w:trPr>
          <w:trHeight w:val="50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109.94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1B23D21"/>
    <w:rsid w:val="01B84B32"/>
    <w:rsid w:val="078C49C5"/>
    <w:rsid w:val="08BB75C2"/>
    <w:rsid w:val="0C637C9B"/>
    <w:rsid w:val="0C946333"/>
    <w:rsid w:val="10A5091A"/>
    <w:rsid w:val="11011861"/>
    <w:rsid w:val="11073C4A"/>
    <w:rsid w:val="11584145"/>
    <w:rsid w:val="14062631"/>
    <w:rsid w:val="146C482A"/>
    <w:rsid w:val="15FD3917"/>
    <w:rsid w:val="192A47D3"/>
    <w:rsid w:val="19AC5FE6"/>
    <w:rsid w:val="1CA87DE1"/>
    <w:rsid w:val="22786917"/>
    <w:rsid w:val="24AF4B7D"/>
    <w:rsid w:val="24C17E62"/>
    <w:rsid w:val="26071CD7"/>
    <w:rsid w:val="27E95C8D"/>
    <w:rsid w:val="28F25781"/>
    <w:rsid w:val="3696308F"/>
    <w:rsid w:val="38114371"/>
    <w:rsid w:val="3AFD2A1C"/>
    <w:rsid w:val="3B897BD4"/>
    <w:rsid w:val="3C13033D"/>
    <w:rsid w:val="48A4293E"/>
    <w:rsid w:val="48DC4DE4"/>
    <w:rsid w:val="4B8B071D"/>
    <w:rsid w:val="539630F4"/>
    <w:rsid w:val="54A506C8"/>
    <w:rsid w:val="56983779"/>
    <w:rsid w:val="582F1A09"/>
    <w:rsid w:val="58393836"/>
    <w:rsid w:val="5A2430FA"/>
    <w:rsid w:val="5A3357BA"/>
    <w:rsid w:val="5AAE0945"/>
    <w:rsid w:val="5C9A1951"/>
    <w:rsid w:val="5D201E0E"/>
    <w:rsid w:val="614127F9"/>
    <w:rsid w:val="62C447E5"/>
    <w:rsid w:val="669D5B45"/>
    <w:rsid w:val="6A3F72CE"/>
    <w:rsid w:val="6AA7758A"/>
    <w:rsid w:val="6C585350"/>
    <w:rsid w:val="6C603491"/>
    <w:rsid w:val="6F100FCF"/>
    <w:rsid w:val="70DD7A57"/>
    <w:rsid w:val="71164A7D"/>
    <w:rsid w:val="72E94419"/>
    <w:rsid w:val="73D879DD"/>
    <w:rsid w:val="744C769F"/>
    <w:rsid w:val="753D0D9E"/>
    <w:rsid w:val="771F48C7"/>
    <w:rsid w:val="778D6B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5</TotalTime>
  <ScaleCrop>false</ScaleCrop>
  <LinksUpToDate>false</LinksUpToDate>
  <CharactersWithSpaces>3370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dell</cp:lastModifiedBy>
  <cp:lastPrinted>2018-01-30T06:12:00Z</cp:lastPrinted>
  <dcterms:modified xsi:type="dcterms:W3CDTF">2022-07-14T08:59:47Z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4E44EDF0EF9F46F78136DEDCDFA20100</vt:lpwstr>
  </property>
</Properties>
</file>